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EAED6" w14:textId="43A8FC63" w:rsidR="009C3B55" w:rsidRPr="004644E0" w:rsidRDefault="009C3B55" w:rsidP="005A53A2">
      <w:pPr>
        <w:jc w:val="center"/>
        <w:rPr>
          <w:rFonts w:cs="Times New Roman"/>
          <w:szCs w:val="24"/>
        </w:rPr>
      </w:pPr>
    </w:p>
    <w:p w14:paraId="44E747F1" w14:textId="48FAE184" w:rsidR="005A53A2" w:rsidRPr="004644E0" w:rsidRDefault="005A53A2" w:rsidP="005A53A2">
      <w:pPr>
        <w:jc w:val="center"/>
        <w:rPr>
          <w:rFonts w:cs="Times New Roman"/>
          <w:szCs w:val="24"/>
        </w:rPr>
      </w:pPr>
    </w:p>
    <w:p w14:paraId="5BAA6FA6" w14:textId="348A2652" w:rsidR="005A53A2" w:rsidRPr="004644E0" w:rsidRDefault="005A53A2" w:rsidP="005A53A2">
      <w:pPr>
        <w:jc w:val="center"/>
        <w:rPr>
          <w:rFonts w:cs="Times New Roman"/>
          <w:szCs w:val="24"/>
        </w:rPr>
      </w:pPr>
    </w:p>
    <w:p w14:paraId="32ECEAA9" w14:textId="45F32B30" w:rsidR="005A53A2" w:rsidRPr="004644E0" w:rsidRDefault="005A53A2" w:rsidP="005A53A2">
      <w:pPr>
        <w:jc w:val="center"/>
        <w:rPr>
          <w:rFonts w:cs="Times New Roman"/>
          <w:szCs w:val="24"/>
        </w:rPr>
      </w:pPr>
    </w:p>
    <w:p w14:paraId="1CCCA974" w14:textId="728D98E2" w:rsidR="005A53A2" w:rsidRPr="004644E0" w:rsidRDefault="005A53A2" w:rsidP="005A53A2">
      <w:pPr>
        <w:jc w:val="center"/>
        <w:rPr>
          <w:rFonts w:cs="Times New Roman"/>
          <w:szCs w:val="24"/>
        </w:rPr>
      </w:pPr>
    </w:p>
    <w:p w14:paraId="3D2F1CD3" w14:textId="476A6258" w:rsidR="005A53A2" w:rsidRPr="004644E0" w:rsidRDefault="00C637B5" w:rsidP="005A53A2">
      <w:pPr>
        <w:jc w:val="center"/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>Does the 8th Amendment bar the admission of the victim impact evidence during the penalty phase of a capital trial?</w:t>
      </w:r>
    </w:p>
    <w:p w14:paraId="574BB08B" w14:textId="0DC0B7E4" w:rsidR="005A53A2" w:rsidRPr="004644E0" w:rsidRDefault="005A53A2" w:rsidP="005A53A2">
      <w:pPr>
        <w:jc w:val="center"/>
        <w:rPr>
          <w:rFonts w:cs="Times New Roman"/>
          <w:szCs w:val="24"/>
        </w:rPr>
      </w:pPr>
    </w:p>
    <w:p w14:paraId="355B4ED1" w14:textId="0AEB691E" w:rsidR="005A53A2" w:rsidRPr="004644E0" w:rsidRDefault="005A53A2" w:rsidP="005A53A2">
      <w:pPr>
        <w:jc w:val="center"/>
        <w:rPr>
          <w:rFonts w:cs="Times New Roman"/>
          <w:szCs w:val="24"/>
        </w:rPr>
      </w:pPr>
    </w:p>
    <w:p w14:paraId="042C586D" w14:textId="5A5CF7B5" w:rsidR="005A53A2" w:rsidRPr="004644E0" w:rsidRDefault="00C637B5" w:rsidP="005A53A2">
      <w:pPr>
        <w:jc w:val="center"/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>Name</w:t>
      </w:r>
    </w:p>
    <w:p w14:paraId="17B4E691" w14:textId="32E9529C" w:rsidR="005A53A2" w:rsidRPr="004644E0" w:rsidRDefault="00C637B5" w:rsidP="005A53A2">
      <w:pPr>
        <w:jc w:val="center"/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>Affiliation</w:t>
      </w:r>
    </w:p>
    <w:p w14:paraId="6708C9A8" w14:textId="1FE4CAF3" w:rsidR="005A53A2" w:rsidRPr="004644E0" w:rsidRDefault="00C637B5" w:rsidP="005A53A2">
      <w:pPr>
        <w:jc w:val="center"/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>Date</w:t>
      </w:r>
    </w:p>
    <w:p w14:paraId="30D57188" w14:textId="77777777" w:rsidR="005A53A2" w:rsidRPr="004644E0" w:rsidRDefault="005A53A2" w:rsidP="005A53A2">
      <w:pPr>
        <w:jc w:val="center"/>
        <w:rPr>
          <w:rFonts w:cs="Times New Roman"/>
          <w:szCs w:val="24"/>
        </w:rPr>
      </w:pPr>
    </w:p>
    <w:p w14:paraId="13CA99E8" w14:textId="5E7F178C" w:rsidR="005A53A2" w:rsidRPr="004644E0" w:rsidRDefault="005A53A2" w:rsidP="005A53A2">
      <w:pPr>
        <w:jc w:val="center"/>
        <w:rPr>
          <w:rFonts w:cs="Times New Roman"/>
          <w:szCs w:val="24"/>
        </w:rPr>
      </w:pPr>
    </w:p>
    <w:p w14:paraId="4CB72D86" w14:textId="2A5A5B74" w:rsidR="005A53A2" w:rsidRPr="004644E0" w:rsidRDefault="005A53A2" w:rsidP="005A53A2">
      <w:pPr>
        <w:jc w:val="center"/>
        <w:rPr>
          <w:rFonts w:cs="Times New Roman"/>
          <w:szCs w:val="24"/>
        </w:rPr>
      </w:pPr>
    </w:p>
    <w:p w14:paraId="67732896" w14:textId="47E8EC37" w:rsidR="005A53A2" w:rsidRPr="004644E0" w:rsidRDefault="005A53A2" w:rsidP="005A53A2">
      <w:pPr>
        <w:jc w:val="center"/>
        <w:rPr>
          <w:rFonts w:cs="Times New Roman"/>
          <w:szCs w:val="24"/>
        </w:rPr>
      </w:pPr>
    </w:p>
    <w:p w14:paraId="4DBADF22" w14:textId="150EFD70" w:rsidR="005A53A2" w:rsidRPr="004644E0" w:rsidRDefault="005A53A2" w:rsidP="005A53A2">
      <w:pPr>
        <w:jc w:val="center"/>
        <w:rPr>
          <w:rFonts w:cs="Times New Roman"/>
          <w:szCs w:val="24"/>
        </w:rPr>
      </w:pPr>
    </w:p>
    <w:p w14:paraId="7B1D5C3E" w14:textId="3068BD52" w:rsidR="005A53A2" w:rsidRPr="004644E0" w:rsidRDefault="005A53A2" w:rsidP="005A53A2">
      <w:pPr>
        <w:jc w:val="center"/>
        <w:rPr>
          <w:rFonts w:cs="Times New Roman"/>
          <w:szCs w:val="24"/>
        </w:rPr>
      </w:pPr>
    </w:p>
    <w:p w14:paraId="3D33C3F0" w14:textId="05F09D2A" w:rsidR="005A53A2" w:rsidRPr="004644E0" w:rsidRDefault="005A53A2" w:rsidP="005A53A2">
      <w:pPr>
        <w:jc w:val="center"/>
        <w:rPr>
          <w:rFonts w:cs="Times New Roman"/>
          <w:szCs w:val="24"/>
        </w:rPr>
      </w:pPr>
    </w:p>
    <w:p w14:paraId="7ACA18F7" w14:textId="362CAB3A" w:rsidR="005A53A2" w:rsidRPr="004644E0" w:rsidRDefault="005A53A2" w:rsidP="005A53A2">
      <w:pPr>
        <w:jc w:val="center"/>
        <w:rPr>
          <w:rFonts w:cs="Times New Roman"/>
          <w:szCs w:val="24"/>
        </w:rPr>
      </w:pPr>
    </w:p>
    <w:p w14:paraId="6AB18E55" w14:textId="38AE50E9" w:rsidR="005A53A2" w:rsidRPr="004644E0" w:rsidRDefault="005A53A2" w:rsidP="005A53A2">
      <w:pPr>
        <w:jc w:val="center"/>
        <w:rPr>
          <w:rFonts w:cs="Times New Roman"/>
          <w:szCs w:val="24"/>
        </w:rPr>
      </w:pPr>
    </w:p>
    <w:p w14:paraId="1262C20E" w14:textId="71BB4A88" w:rsidR="005A53A2" w:rsidRPr="004644E0" w:rsidRDefault="005A53A2" w:rsidP="005A53A2">
      <w:pPr>
        <w:jc w:val="center"/>
        <w:rPr>
          <w:rFonts w:cs="Times New Roman"/>
          <w:szCs w:val="24"/>
        </w:rPr>
      </w:pPr>
    </w:p>
    <w:p w14:paraId="39272D21" w14:textId="2EFB3038" w:rsidR="005A53A2" w:rsidRPr="004644E0" w:rsidRDefault="005A53A2" w:rsidP="005A53A2">
      <w:pPr>
        <w:jc w:val="center"/>
        <w:rPr>
          <w:rFonts w:cs="Times New Roman"/>
          <w:szCs w:val="24"/>
        </w:rPr>
      </w:pPr>
    </w:p>
    <w:p w14:paraId="40D784CE" w14:textId="77777777" w:rsidR="005A53A2" w:rsidRPr="004644E0" w:rsidRDefault="00C637B5" w:rsidP="005A53A2">
      <w:pPr>
        <w:rPr>
          <w:rFonts w:cs="Times New Roman"/>
          <w:szCs w:val="24"/>
        </w:rPr>
      </w:pPr>
      <w:r w:rsidRPr="004644E0">
        <w:rPr>
          <w:rFonts w:cs="Times New Roman"/>
          <w:b/>
          <w:bCs/>
          <w:szCs w:val="24"/>
        </w:rPr>
        <w:lastRenderedPageBreak/>
        <w:t>Topic: Does the 8th Amendment bar the admission of the victim impact evidence during the penalty phase of a capital trial?</w:t>
      </w:r>
      <w:r w:rsidRPr="004644E0">
        <w:rPr>
          <w:rFonts w:cs="Times New Roman"/>
          <w:szCs w:val="24"/>
        </w:rPr>
        <w:t xml:space="preserve"> </w:t>
      </w:r>
    </w:p>
    <w:p w14:paraId="78B59E02" w14:textId="06C49CF1" w:rsidR="005A53A2" w:rsidRPr="004644E0" w:rsidRDefault="00C637B5" w:rsidP="005A53A2">
      <w:pPr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 xml:space="preserve">1)Summarize what occurred in this case. </w:t>
      </w:r>
    </w:p>
    <w:p w14:paraId="056C5830" w14:textId="33F498A1" w:rsidR="005B53E2" w:rsidRPr="004644E0" w:rsidRDefault="00C637B5" w:rsidP="005A53A2">
      <w:pPr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 xml:space="preserve">Among the most crucial products of the victim's rights movement has been the revival of the utilization of impact </w:t>
      </w:r>
      <w:r w:rsidR="0067197D" w:rsidRPr="004644E0">
        <w:rPr>
          <w:rFonts w:cs="Times New Roman"/>
          <w:szCs w:val="24"/>
        </w:rPr>
        <w:t>evidence. Such</w:t>
      </w:r>
      <w:r w:rsidRPr="004644E0">
        <w:rPr>
          <w:rFonts w:cs="Times New Roman"/>
          <w:szCs w:val="24"/>
        </w:rPr>
        <w:t xml:space="preserve"> evidence relates to the victims' emotional and characteristic impact of </w:t>
      </w:r>
      <w:r w:rsidR="0067197D" w:rsidRPr="004644E0">
        <w:rPr>
          <w:rFonts w:cs="Times New Roman"/>
          <w:szCs w:val="24"/>
        </w:rPr>
        <w:t>the crime</w:t>
      </w:r>
      <w:r w:rsidRPr="004644E0">
        <w:rPr>
          <w:rFonts w:cs="Times New Roman"/>
          <w:szCs w:val="24"/>
        </w:rPr>
        <w:t xml:space="preserve"> during the penalty phase of a capital </w:t>
      </w:r>
      <w:r w:rsidR="0067197D" w:rsidRPr="004644E0">
        <w:rPr>
          <w:rFonts w:cs="Times New Roman"/>
          <w:szCs w:val="24"/>
        </w:rPr>
        <w:t>trial. During</w:t>
      </w:r>
      <w:r w:rsidRPr="004644E0">
        <w:rPr>
          <w:rFonts w:cs="Times New Roman"/>
          <w:szCs w:val="24"/>
        </w:rPr>
        <w:t xml:space="preserve"> the case of Payne v. Tennessee (1991), the </w:t>
      </w:r>
      <w:r w:rsidR="0067197D" w:rsidRPr="004644E0">
        <w:rPr>
          <w:rFonts w:cs="Times New Roman"/>
          <w:szCs w:val="24"/>
        </w:rPr>
        <w:t>United States</w:t>
      </w:r>
      <w:r w:rsidRPr="004644E0">
        <w:rPr>
          <w:rFonts w:cs="Times New Roman"/>
          <w:szCs w:val="24"/>
        </w:rPr>
        <w:t xml:space="preserve"> supreme court reversed its guide holding such evidence ruling such evidence to be </w:t>
      </w:r>
      <w:r w:rsidR="0067197D" w:rsidRPr="004644E0">
        <w:rPr>
          <w:rFonts w:cs="Times New Roman"/>
          <w:szCs w:val="24"/>
        </w:rPr>
        <w:t>unconstitutional. The</w:t>
      </w:r>
      <w:r w:rsidRPr="004644E0">
        <w:rPr>
          <w:rFonts w:cs="Times New Roman"/>
          <w:szCs w:val="24"/>
        </w:rPr>
        <w:t xml:space="preserve"> U.S supreme court also</w:t>
      </w:r>
      <w:r w:rsidR="000B46CC" w:rsidRPr="004644E0">
        <w:rPr>
          <w:rFonts w:cs="Times New Roman"/>
          <w:szCs w:val="24"/>
        </w:rPr>
        <w:t xml:space="preserve"> left a malleable and vague </w:t>
      </w:r>
      <w:r w:rsidR="0067197D" w:rsidRPr="004644E0">
        <w:rPr>
          <w:rFonts w:cs="Times New Roman"/>
          <w:szCs w:val="24"/>
        </w:rPr>
        <w:t>standard</w:t>
      </w:r>
      <w:r w:rsidR="000B46CC" w:rsidRPr="004644E0">
        <w:rPr>
          <w:rFonts w:cs="Times New Roman"/>
          <w:szCs w:val="24"/>
        </w:rPr>
        <w:t xml:space="preserve"> for limiting its admissibility</w:t>
      </w:r>
      <w:r w:rsidR="004644E0" w:rsidRPr="004644E0">
        <w:rPr>
          <w:rFonts w:cs="Times New Roman"/>
          <w:szCs w:val="24"/>
        </w:rPr>
        <w:t xml:space="preserve"> </w:t>
      </w:r>
      <w:r w:rsidR="004644E0" w:rsidRPr="004644E0">
        <w:rPr>
          <w:rFonts w:cs="Times New Roman"/>
          <w:szCs w:val="24"/>
          <w:shd w:val="clear" w:color="auto" w:fill="FFFFFF"/>
        </w:rPr>
        <w:t>(</w:t>
      </w:r>
      <w:proofErr w:type="spellStart"/>
      <w:r w:rsidR="004644E0" w:rsidRPr="004644E0">
        <w:rPr>
          <w:rFonts w:cs="Times New Roman"/>
          <w:szCs w:val="24"/>
          <w:shd w:val="clear" w:color="auto" w:fill="FFFFFF"/>
        </w:rPr>
        <w:t>Latzer</w:t>
      </w:r>
      <w:proofErr w:type="spellEnd"/>
      <w:r w:rsidR="004644E0" w:rsidRPr="004644E0">
        <w:rPr>
          <w:rFonts w:cs="Times New Roman"/>
          <w:szCs w:val="24"/>
          <w:shd w:val="clear" w:color="auto" w:fill="FFFFFF"/>
        </w:rPr>
        <w:t xml:space="preserve"> &amp; McCord, 2011)</w:t>
      </w:r>
      <w:r w:rsidR="000B46CC" w:rsidRPr="004644E0">
        <w:rPr>
          <w:rFonts w:cs="Times New Roman"/>
          <w:szCs w:val="24"/>
        </w:rPr>
        <w:t>.</w:t>
      </w:r>
    </w:p>
    <w:p w14:paraId="100C9786" w14:textId="6E9F6872" w:rsidR="005A53A2" w:rsidRPr="004644E0" w:rsidRDefault="00C637B5" w:rsidP="005A53A2">
      <w:pPr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 xml:space="preserve">2) Explain the court’s reasoning and final ruling (the finding) in this case. </w:t>
      </w:r>
    </w:p>
    <w:p w14:paraId="7476C689" w14:textId="2BD3C2AC" w:rsidR="000B46CC" w:rsidRPr="004644E0" w:rsidRDefault="00C637B5" w:rsidP="005A53A2">
      <w:pPr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 xml:space="preserve">With a 6-3 decision, the U.s supreme court affirmed the death penalty for </w:t>
      </w:r>
      <w:r w:rsidR="0067197D" w:rsidRPr="004644E0">
        <w:rPr>
          <w:rFonts w:cs="Times New Roman"/>
          <w:szCs w:val="24"/>
        </w:rPr>
        <w:t>Payne. Chief</w:t>
      </w:r>
      <w:r w:rsidRPr="004644E0">
        <w:rPr>
          <w:rFonts w:cs="Times New Roman"/>
          <w:szCs w:val="24"/>
        </w:rPr>
        <w:t xml:space="preserve"> justice William H. Renquist said the court decided to overrule its decisions in Booths </w:t>
      </w:r>
      <w:r w:rsidR="0067197D" w:rsidRPr="004644E0">
        <w:rPr>
          <w:rFonts w:cs="Times New Roman"/>
          <w:szCs w:val="24"/>
        </w:rPr>
        <w:t>and</w:t>
      </w:r>
      <w:r w:rsidRPr="004644E0">
        <w:rPr>
          <w:rFonts w:cs="Times New Roman"/>
          <w:szCs w:val="24"/>
        </w:rPr>
        <w:t xml:space="preserve"> </w:t>
      </w:r>
      <w:r w:rsidR="0067197D" w:rsidRPr="004644E0">
        <w:rPr>
          <w:rFonts w:cs="Times New Roman"/>
          <w:szCs w:val="24"/>
        </w:rPr>
        <w:t>Gathers. He</w:t>
      </w:r>
      <w:r w:rsidRPr="004644E0">
        <w:rPr>
          <w:rFonts w:cs="Times New Roman"/>
          <w:szCs w:val="24"/>
        </w:rPr>
        <w:t xml:space="preserve"> said that the primary goal of America's criminal justice is to make the punishment fit the crime</w:t>
      </w:r>
      <w:r w:rsidR="00386AC6" w:rsidRPr="004644E0">
        <w:rPr>
          <w:rFonts w:cs="Times New Roman"/>
          <w:szCs w:val="24"/>
        </w:rPr>
        <w:t xml:space="preserve">, and it is not possible if the </w:t>
      </w:r>
      <w:r w:rsidR="0067197D" w:rsidRPr="004644E0">
        <w:rPr>
          <w:rFonts w:cs="Times New Roman"/>
          <w:szCs w:val="24"/>
        </w:rPr>
        <w:t>jury</w:t>
      </w:r>
      <w:r w:rsidR="00386AC6" w:rsidRPr="004644E0">
        <w:rPr>
          <w:rFonts w:cs="Times New Roman"/>
          <w:szCs w:val="24"/>
        </w:rPr>
        <w:t xml:space="preserve"> does not know </w:t>
      </w:r>
      <w:r w:rsidR="0067197D" w:rsidRPr="004644E0">
        <w:rPr>
          <w:rFonts w:cs="Times New Roman"/>
          <w:szCs w:val="24"/>
        </w:rPr>
        <w:t>the impact</w:t>
      </w:r>
      <w:r w:rsidR="00386AC6" w:rsidRPr="004644E0">
        <w:rPr>
          <w:rFonts w:cs="Times New Roman"/>
          <w:szCs w:val="24"/>
        </w:rPr>
        <w:t xml:space="preserve"> of the crime on the victim and his family.</w:t>
      </w:r>
    </w:p>
    <w:p w14:paraId="63DD921F" w14:textId="5FC881FE" w:rsidR="005A53A2" w:rsidRPr="004644E0" w:rsidRDefault="00C637B5" w:rsidP="005A53A2">
      <w:pPr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>3) Explain the term "stare decisis" as your text mentions, and explain "Is stare decisis stronger with older precedents?" (Lawrence v. Texas 2003) page 24.</w:t>
      </w:r>
    </w:p>
    <w:p w14:paraId="2A2FE516" w14:textId="4D9657E2" w:rsidR="00386AC6" w:rsidRPr="004644E0" w:rsidRDefault="00C637B5" w:rsidP="005A53A2">
      <w:pPr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 xml:space="preserve">Stare decisis is a legal principle requiring the court to follow a historical case when presiding on a comparable case. Such a legal doctrine ensures that cases with similar facts and </w:t>
      </w:r>
      <w:r w:rsidR="0067197D" w:rsidRPr="004644E0">
        <w:rPr>
          <w:rFonts w:cs="Times New Roman"/>
          <w:szCs w:val="24"/>
        </w:rPr>
        <w:t>scenarios</w:t>
      </w:r>
      <w:r w:rsidRPr="004644E0">
        <w:rPr>
          <w:rFonts w:cs="Times New Roman"/>
          <w:szCs w:val="24"/>
        </w:rPr>
        <w:t xml:space="preserve"> are approached similar</w:t>
      </w:r>
      <w:r w:rsidR="0067197D" w:rsidRPr="004644E0">
        <w:rPr>
          <w:rFonts w:cs="Times New Roman"/>
          <w:szCs w:val="24"/>
        </w:rPr>
        <w:t>ly. Stare</w:t>
      </w:r>
      <w:r w:rsidR="00582110" w:rsidRPr="004644E0">
        <w:rPr>
          <w:rFonts w:cs="Times New Roman"/>
          <w:szCs w:val="24"/>
        </w:rPr>
        <w:t xml:space="preserve"> dicisis is stronger with older precedents, in the case of Lawrence v. Texas 2003. The court reaffirmed the aspect of a right to privacy in </w:t>
      </w:r>
      <w:r w:rsidR="0067197D" w:rsidRPr="004644E0">
        <w:rPr>
          <w:rFonts w:cs="Times New Roman"/>
          <w:szCs w:val="24"/>
        </w:rPr>
        <w:t>earlier</w:t>
      </w:r>
      <w:r w:rsidR="00582110" w:rsidRPr="004644E0">
        <w:rPr>
          <w:rFonts w:cs="Times New Roman"/>
          <w:szCs w:val="24"/>
        </w:rPr>
        <w:t xml:space="preserve"> cases, for example, Roe v. Wade</w:t>
      </w:r>
      <w:r w:rsidR="0067197D" w:rsidRPr="004644E0">
        <w:rPr>
          <w:rFonts w:cs="Times New Roman"/>
          <w:szCs w:val="24"/>
        </w:rPr>
        <w:t>.</w:t>
      </w:r>
    </w:p>
    <w:p w14:paraId="77C7BC6E" w14:textId="2EDF15F9" w:rsidR="005A53A2" w:rsidRPr="004644E0" w:rsidRDefault="00C637B5" w:rsidP="005A53A2">
      <w:pPr>
        <w:rPr>
          <w:rFonts w:cs="Times New Roman"/>
          <w:szCs w:val="24"/>
        </w:rPr>
      </w:pPr>
      <w:r w:rsidRPr="004644E0">
        <w:rPr>
          <w:rFonts w:cs="Times New Roman"/>
          <w:szCs w:val="24"/>
        </w:rPr>
        <w:lastRenderedPageBreak/>
        <w:t xml:space="preserve"> 4) Discuss "Who is the victim "? (the United States v. Whitten 2010) Page 23-24 5) Discuss "How much victim impact testimony is allowed in the sentencing phase?" (the United States v. McVeigh, 1998) Page 23-24.</w:t>
      </w:r>
    </w:p>
    <w:p w14:paraId="3F5AC66D" w14:textId="186C9E3D" w:rsidR="00926133" w:rsidRPr="004644E0" w:rsidRDefault="00C637B5" w:rsidP="005A53A2">
      <w:pPr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 xml:space="preserve">The victim in the United States v. Whitten 2010 case is the </w:t>
      </w:r>
      <w:r w:rsidR="0067197D" w:rsidRPr="004644E0">
        <w:rPr>
          <w:rFonts w:cs="Times New Roman"/>
          <w:szCs w:val="24"/>
        </w:rPr>
        <w:t>United States. The</w:t>
      </w:r>
      <w:r w:rsidRPr="004644E0">
        <w:rPr>
          <w:rFonts w:cs="Times New Roman"/>
          <w:szCs w:val="24"/>
        </w:rPr>
        <w:t xml:space="preserve"> government accused Wilson of killing for pecuniary </w:t>
      </w:r>
      <w:r w:rsidR="0067197D" w:rsidRPr="004644E0">
        <w:rPr>
          <w:rFonts w:cs="Times New Roman"/>
          <w:szCs w:val="24"/>
        </w:rPr>
        <w:t xml:space="preserve">gain, </w:t>
      </w:r>
      <w:r w:rsidRPr="004644E0">
        <w:rPr>
          <w:rFonts w:cs="Times New Roman"/>
          <w:szCs w:val="24"/>
        </w:rPr>
        <w:t xml:space="preserve">law </w:t>
      </w:r>
      <w:r w:rsidR="0067197D" w:rsidRPr="004644E0">
        <w:rPr>
          <w:rFonts w:cs="Times New Roman"/>
          <w:szCs w:val="24"/>
        </w:rPr>
        <w:t>enforc</w:t>
      </w:r>
      <w:r w:rsidRPr="004644E0">
        <w:rPr>
          <w:rFonts w:cs="Times New Roman"/>
          <w:szCs w:val="24"/>
        </w:rPr>
        <w:t xml:space="preserve">ement officers, and killing multiple people in a single </w:t>
      </w:r>
      <w:r w:rsidR="0067197D" w:rsidRPr="004644E0">
        <w:rPr>
          <w:rFonts w:cs="Times New Roman"/>
          <w:szCs w:val="24"/>
        </w:rPr>
        <w:t>incident. Victim</w:t>
      </w:r>
      <w:r w:rsidR="003D02F0" w:rsidRPr="004644E0">
        <w:rPr>
          <w:rFonts w:cs="Times New Roman"/>
          <w:szCs w:val="24"/>
        </w:rPr>
        <w:t xml:space="preserve"> impact testimony represents a written or spoken statement describing the impact of the crime, including further losses and </w:t>
      </w:r>
      <w:r w:rsidR="0067197D" w:rsidRPr="004644E0">
        <w:rPr>
          <w:rFonts w:cs="Times New Roman"/>
          <w:szCs w:val="24"/>
        </w:rPr>
        <w:t>suffering. Such</w:t>
      </w:r>
      <w:r w:rsidR="003D02F0" w:rsidRPr="004644E0">
        <w:rPr>
          <w:rFonts w:cs="Times New Roman"/>
          <w:szCs w:val="24"/>
        </w:rPr>
        <w:t xml:space="preserve"> </w:t>
      </w:r>
      <w:r w:rsidR="0067197D" w:rsidRPr="004644E0">
        <w:rPr>
          <w:rFonts w:cs="Times New Roman"/>
          <w:szCs w:val="24"/>
        </w:rPr>
        <w:t>statements</w:t>
      </w:r>
      <w:r w:rsidR="003D02F0" w:rsidRPr="004644E0">
        <w:rPr>
          <w:rFonts w:cs="Times New Roman"/>
          <w:szCs w:val="24"/>
        </w:rPr>
        <w:t xml:space="preserve"> are crucial as it helps judges understand the personal impact on the victim when deciding the suitable penalty.</w:t>
      </w:r>
    </w:p>
    <w:p w14:paraId="0EE9EE5B" w14:textId="2A57863D" w:rsidR="005A53A2" w:rsidRPr="004644E0" w:rsidRDefault="00C637B5" w:rsidP="003D02F0">
      <w:pPr>
        <w:jc w:val="center"/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>Payne V. Tennessee</w:t>
      </w:r>
    </w:p>
    <w:p w14:paraId="7AC59EA9" w14:textId="14AF4301" w:rsidR="00556FFE" w:rsidRPr="004644E0" w:rsidRDefault="00C637B5" w:rsidP="003D02F0">
      <w:pPr>
        <w:jc w:val="center"/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>introduction</w:t>
      </w:r>
    </w:p>
    <w:p w14:paraId="6878F66B" w14:textId="18918BE8" w:rsidR="003D02F0" w:rsidRPr="004644E0" w:rsidRDefault="00C637B5" w:rsidP="003D02F0">
      <w:pPr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ab/>
        <w:t xml:space="preserve">The United States jury convicted the offender Payne of the </w:t>
      </w:r>
      <w:r w:rsidR="0067197D" w:rsidRPr="004644E0">
        <w:rPr>
          <w:rFonts w:cs="Times New Roman"/>
          <w:szCs w:val="24"/>
        </w:rPr>
        <w:t>first-degree</w:t>
      </w:r>
      <w:r w:rsidRPr="004644E0">
        <w:rPr>
          <w:rFonts w:cs="Times New Roman"/>
          <w:szCs w:val="24"/>
        </w:rPr>
        <w:t xml:space="preserve"> assault with intent to murder and </w:t>
      </w:r>
      <w:r w:rsidR="0067197D" w:rsidRPr="004644E0">
        <w:rPr>
          <w:rFonts w:cs="Times New Roman"/>
          <w:szCs w:val="24"/>
        </w:rPr>
        <w:t>first-degree</w:t>
      </w:r>
      <w:r w:rsidRPr="004644E0">
        <w:rPr>
          <w:rFonts w:cs="Times New Roman"/>
          <w:szCs w:val="24"/>
        </w:rPr>
        <w:t xml:space="preserve"> mur</w:t>
      </w:r>
      <w:r w:rsidR="00F540ED" w:rsidRPr="004644E0">
        <w:rPr>
          <w:rFonts w:cs="Times New Roman"/>
          <w:szCs w:val="24"/>
        </w:rPr>
        <w:t xml:space="preserve">ders of a mother and her </w:t>
      </w:r>
      <w:r w:rsidR="0067197D" w:rsidRPr="004644E0">
        <w:rPr>
          <w:rFonts w:cs="Times New Roman"/>
          <w:szCs w:val="24"/>
        </w:rPr>
        <w:t>2-year-old</w:t>
      </w:r>
      <w:r w:rsidR="00F540ED" w:rsidRPr="004644E0">
        <w:rPr>
          <w:rFonts w:cs="Times New Roman"/>
          <w:szCs w:val="24"/>
        </w:rPr>
        <w:t xml:space="preserve"> </w:t>
      </w:r>
      <w:r w:rsidR="0067197D" w:rsidRPr="004644E0">
        <w:rPr>
          <w:rFonts w:cs="Times New Roman"/>
          <w:szCs w:val="24"/>
        </w:rPr>
        <w:t>daughter. The</w:t>
      </w:r>
      <w:r w:rsidR="00F540ED" w:rsidRPr="004644E0">
        <w:rPr>
          <w:rFonts w:cs="Times New Roman"/>
          <w:szCs w:val="24"/>
        </w:rPr>
        <w:t xml:space="preserve"> crimes were committed in the </w:t>
      </w:r>
      <w:r w:rsidR="0067197D" w:rsidRPr="004644E0">
        <w:rPr>
          <w:rFonts w:cs="Times New Roman"/>
          <w:szCs w:val="24"/>
        </w:rPr>
        <w:t>victim’s</w:t>
      </w:r>
      <w:r w:rsidR="00F540ED" w:rsidRPr="004644E0">
        <w:rPr>
          <w:rFonts w:cs="Times New Roman"/>
          <w:szCs w:val="24"/>
        </w:rPr>
        <w:t xml:space="preserve"> apartment after the mother resisted </w:t>
      </w:r>
      <w:r w:rsidR="0067197D" w:rsidRPr="004644E0">
        <w:rPr>
          <w:rFonts w:cs="Times New Roman"/>
          <w:szCs w:val="24"/>
        </w:rPr>
        <w:t>sexual</w:t>
      </w:r>
      <w:r w:rsidR="00F540ED" w:rsidRPr="004644E0">
        <w:rPr>
          <w:rFonts w:cs="Times New Roman"/>
          <w:szCs w:val="24"/>
        </w:rPr>
        <w:t xml:space="preserve"> advances from the </w:t>
      </w:r>
      <w:r w:rsidR="0067197D" w:rsidRPr="004644E0">
        <w:rPr>
          <w:rFonts w:cs="Times New Roman"/>
          <w:szCs w:val="24"/>
        </w:rPr>
        <w:t>offender. The</w:t>
      </w:r>
      <w:r w:rsidR="00F540ED" w:rsidRPr="004644E0">
        <w:rPr>
          <w:rFonts w:cs="Times New Roman"/>
          <w:szCs w:val="24"/>
        </w:rPr>
        <w:t xml:space="preserve"> “victim impact” </w:t>
      </w:r>
      <w:r w:rsidR="0067197D" w:rsidRPr="004644E0">
        <w:rPr>
          <w:rFonts w:cs="Times New Roman"/>
          <w:szCs w:val="24"/>
        </w:rPr>
        <w:t>evidence involves</w:t>
      </w:r>
      <w:r w:rsidR="00F540ED" w:rsidRPr="004644E0">
        <w:rPr>
          <w:rFonts w:cs="Times New Roman"/>
          <w:szCs w:val="24"/>
        </w:rPr>
        <w:t xml:space="preserve"> matters relating to the victim's emotional and characteristics impact the crime on the victim's </w:t>
      </w:r>
      <w:r w:rsidR="0067197D" w:rsidRPr="004644E0">
        <w:rPr>
          <w:rFonts w:cs="Times New Roman"/>
          <w:szCs w:val="24"/>
        </w:rPr>
        <w:t>family. Besides, the</w:t>
      </w:r>
      <w:r w:rsidR="0055605B" w:rsidRPr="004644E0">
        <w:rPr>
          <w:rFonts w:cs="Times New Roman"/>
          <w:szCs w:val="24"/>
        </w:rPr>
        <w:t xml:space="preserve"> case involved the</w:t>
      </w:r>
      <w:r w:rsidR="0067197D" w:rsidRPr="004644E0">
        <w:rPr>
          <w:rFonts w:cs="Times New Roman"/>
          <w:szCs w:val="24"/>
        </w:rPr>
        <w:t xml:space="preserve"> </w:t>
      </w:r>
      <w:r w:rsidR="0055605B" w:rsidRPr="004644E0">
        <w:rPr>
          <w:rFonts w:cs="Times New Roman"/>
          <w:szCs w:val="24"/>
        </w:rPr>
        <w:t>admissibi</w:t>
      </w:r>
      <w:r w:rsidR="0067197D" w:rsidRPr="004644E0">
        <w:rPr>
          <w:rFonts w:cs="Times New Roman"/>
          <w:szCs w:val="24"/>
        </w:rPr>
        <w:t>li</w:t>
      </w:r>
      <w:r w:rsidR="0055605B" w:rsidRPr="004644E0">
        <w:rPr>
          <w:rFonts w:cs="Times New Roman"/>
          <w:szCs w:val="24"/>
        </w:rPr>
        <w:t xml:space="preserve">ty of the “victim impact” evidence during the capital sentencing </w:t>
      </w:r>
      <w:r w:rsidR="0067197D" w:rsidRPr="004644E0">
        <w:rPr>
          <w:rFonts w:cs="Times New Roman"/>
          <w:szCs w:val="24"/>
        </w:rPr>
        <w:t>hearing. This</w:t>
      </w:r>
      <w:r w:rsidR="0055605B" w:rsidRPr="004644E0">
        <w:rPr>
          <w:rFonts w:cs="Times New Roman"/>
          <w:szCs w:val="24"/>
        </w:rPr>
        <w:t xml:space="preserve"> essay aims at analyzing the impact of “victim evidence” on the Payne v. Tennessee case.</w:t>
      </w:r>
    </w:p>
    <w:p w14:paraId="7770CAA5" w14:textId="21D5615D" w:rsidR="00556FFE" w:rsidRPr="004644E0" w:rsidRDefault="00C637B5" w:rsidP="00556FFE">
      <w:pPr>
        <w:jc w:val="center"/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 xml:space="preserve">Body paragraphs </w:t>
      </w:r>
    </w:p>
    <w:p w14:paraId="69C68E83" w14:textId="4CB5DA95" w:rsidR="00960B8A" w:rsidRPr="004644E0" w:rsidRDefault="00C637B5" w:rsidP="00983223">
      <w:pPr>
        <w:ind w:firstLine="720"/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>In the Payne V. Tennessee case, the court stated that the 8</w:t>
      </w:r>
      <w:r w:rsidRPr="004644E0">
        <w:rPr>
          <w:rFonts w:cs="Times New Roman"/>
          <w:szCs w:val="24"/>
          <w:vertAlign w:val="superscript"/>
        </w:rPr>
        <w:t>th</w:t>
      </w:r>
      <w:r w:rsidRPr="004644E0">
        <w:rPr>
          <w:rFonts w:cs="Times New Roman"/>
          <w:szCs w:val="24"/>
        </w:rPr>
        <w:t xml:space="preserve"> </w:t>
      </w:r>
      <w:r w:rsidR="00556FFE" w:rsidRPr="004644E0">
        <w:rPr>
          <w:rFonts w:cs="Times New Roman"/>
          <w:szCs w:val="24"/>
        </w:rPr>
        <w:t>amendments</w:t>
      </w:r>
      <w:r w:rsidR="00FC1D05" w:rsidRPr="004644E0">
        <w:rPr>
          <w:rFonts w:cs="Times New Roman"/>
          <w:szCs w:val="24"/>
        </w:rPr>
        <w:t xml:space="preserve"> </w:t>
      </w:r>
      <w:r w:rsidR="0067197D" w:rsidRPr="004644E0">
        <w:rPr>
          <w:rFonts w:cs="Times New Roman"/>
          <w:szCs w:val="24"/>
        </w:rPr>
        <w:t>erect</w:t>
      </w:r>
      <w:r w:rsidR="00FC1D05" w:rsidRPr="004644E0">
        <w:rPr>
          <w:rFonts w:cs="Times New Roman"/>
          <w:szCs w:val="24"/>
        </w:rPr>
        <w:t xml:space="preserve"> no barriers to the admission of impact </w:t>
      </w:r>
      <w:r w:rsidR="0067197D" w:rsidRPr="004644E0">
        <w:rPr>
          <w:rFonts w:cs="Times New Roman"/>
          <w:szCs w:val="24"/>
        </w:rPr>
        <w:t>evidence. The</w:t>
      </w:r>
      <w:r w:rsidR="00FC1D05" w:rsidRPr="004644E0">
        <w:rPr>
          <w:rFonts w:cs="Times New Roman"/>
          <w:szCs w:val="24"/>
        </w:rPr>
        <w:t xml:space="preserve"> court went ahead to condones such evidence in capital </w:t>
      </w:r>
      <w:r w:rsidR="0067197D" w:rsidRPr="004644E0">
        <w:rPr>
          <w:rFonts w:cs="Times New Roman"/>
          <w:szCs w:val="24"/>
        </w:rPr>
        <w:t>trials. The</w:t>
      </w:r>
      <w:r w:rsidR="00FC1D05" w:rsidRPr="004644E0">
        <w:rPr>
          <w:rFonts w:cs="Times New Roman"/>
          <w:szCs w:val="24"/>
        </w:rPr>
        <w:t xml:space="preserve"> majority of Payne found the impact evince important </w:t>
      </w:r>
      <w:r w:rsidR="00FC1D05" w:rsidRPr="004644E0">
        <w:rPr>
          <w:rFonts w:cs="Times New Roman"/>
          <w:szCs w:val="24"/>
        </w:rPr>
        <w:lastRenderedPageBreak/>
        <w:t xml:space="preserve">by drawing an analogy between the differing punishment for attempted murder and murder and admission of impact evidence to </w:t>
      </w:r>
      <w:r w:rsidR="0067197D" w:rsidRPr="004644E0">
        <w:rPr>
          <w:rFonts w:cs="Times New Roman"/>
          <w:szCs w:val="24"/>
        </w:rPr>
        <w:t>convince</w:t>
      </w:r>
      <w:r w:rsidR="00FC1D05" w:rsidRPr="004644E0">
        <w:rPr>
          <w:rFonts w:cs="Times New Roman"/>
          <w:szCs w:val="24"/>
        </w:rPr>
        <w:t xml:space="preserve"> the </w:t>
      </w:r>
      <w:r w:rsidR="0067197D" w:rsidRPr="004644E0">
        <w:rPr>
          <w:rFonts w:cs="Times New Roman"/>
          <w:szCs w:val="24"/>
        </w:rPr>
        <w:t>jury. They</w:t>
      </w:r>
      <w:r w:rsidR="00FC1D05" w:rsidRPr="004644E0">
        <w:rPr>
          <w:rFonts w:cs="Times New Roman"/>
          <w:szCs w:val="24"/>
        </w:rPr>
        <w:t xml:space="preserve"> compared murder and attempted murder with the death of a victim who leaves grieving loved ones behind and the victim's death with no </w:t>
      </w:r>
      <w:r w:rsidR="0067197D" w:rsidRPr="004644E0">
        <w:rPr>
          <w:rFonts w:cs="Times New Roman"/>
          <w:szCs w:val="24"/>
        </w:rPr>
        <w:t>family. Such</w:t>
      </w:r>
      <w:r w:rsidRPr="004644E0">
        <w:rPr>
          <w:rFonts w:cs="Times New Roman"/>
          <w:szCs w:val="24"/>
        </w:rPr>
        <w:t xml:space="preserve"> an analogy was incorrect since the intended consequence is death in the case of attempted murder and murder. in this case, death can logically increase the </w:t>
      </w:r>
      <w:r w:rsidR="0067197D" w:rsidRPr="004644E0">
        <w:rPr>
          <w:rFonts w:cs="Times New Roman"/>
          <w:szCs w:val="24"/>
        </w:rPr>
        <w:t>penalty</w:t>
      </w:r>
      <w:r w:rsidRPr="004644E0">
        <w:rPr>
          <w:rFonts w:cs="Times New Roman"/>
          <w:szCs w:val="24"/>
        </w:rPr>
        <w:t xml:space="preserve"> to the offender. Payne may not be aware of the victim's </w:t>
      </w:r>
      <w:r w:rsidR="0067197D" w:rsidRPr="004644E0">
        <w:rPr>
          <w:rFonts w:cs="Times New Roman"/>
          <w:szCs w:val="24"/>
        </w:rPr>
        <w:t>family. There</w:t>
      </w:r>
      <w:r w:rsidR="00983223" w:rsidRPr="004644E0">
        <w:rPr>
          <w:rFonts w:cs="Times New Roman"/>
          <w:szCs w:val="24"/>
        </w:rPr>
        <w:t xml:space="preserve"> are different reasons for the exclusion of the barring of impact evidence. It is illogical to hold an </w:t>
      </w:r>
      <w:r w:rsidR="0067197D" w:rsidRPr="004644E0">
        <w:rPr>
          <w:rFonts w:cs="Times New Roman"/>
          <w:szCs w:val="24"/>
        </w:rPr>
        <w:t>offender</w:t>
      </w:r>
      <w:r w:rsidR="00983223" w:rsidRPr="004644E0">
        <w:rPr>
          <w:rFonts w:cs="Times New Roman"/>
          <w:szCs w:val="24"/>
        </w:rPr>
        <w:t xml:space="preserve"> responsible for factors unrelated to the </w:t>
      </w:r>
      <w:r w:rsidR="0067197D" w:rsidRPr="004644E0">
        <w:rPr>
          <w:rFonts w:cs="Times New Roman"/>
          <w:szCs w:val="24"/>
        </w:rPr>
        <w:t>blameworthiness</w:t>
      </w:r>
      <w:r w:rsidR="004644E0" w:rsidRPr="004644E0">
        <w:rPr>
          <w:rFonts w:cs="Times New Roman"/>
          <w:szCs w:val="24"/>
        </w:rPr>
        <w:t xml:space="preserve"> </w:t>
      </w:r>
      <w:r w:rsidR="004644E0" w:rsidRPr="004644E0">
        <w:rPr>
          <w:rFonts w:cs="Times New Roman"/>
          <w:szCs w:val="24"/>
          <w:shd w:val="clear" w:color="auto" w:fill="FFFFFF"/>
        </w:rPr>
        <w:t>(</w:t>
      </w:r>
      <w:proofErr w:type="spellStart"/>
      <w:r w:rsidR="004644E0" w:rsidRPr="004644E0">
        <w:rPr>
          <w:rFonts w:cs="Times New Roman"/>
          <w:szCs w:val="24"/>
          <w:shd w:val="clear" w:color="auto" w:fill="FFFFFF"/>
        </w:rPr>
        <w:t>Tretter</w:t>
      </w:r>
      <w:proofErr w:type="spellEnd"/>
      <w:r w:rsidR="004644E0" w:rsidRPr="004644E0">
        <w:rPr>
          <w:rFonts w:cs="Times New Roman"/>
          <w:szCs w:val="24"/>
          <w:shd w:val="clear" w:color="auto" w:fill="FFFFFF"/>
        </w:rPr>
        <w:t>, 1992)</w:t>
      </w:r>
      <w:r w:rsidR="00983223" w:rsidRPr="004644E0">
        <w:rPr>
          <w:rFonts w:cs="Times New Roman"/>
          <w:szCs w:val="24"/>
        </w:rPr>
        <w:t>.</w:t>
      </w:r>
    </w:p>
    <w:p w14:paraId="4F582580" w14:textId="089D716F" w:rsidR="00983223" w:rsidRPr="004644E0" w:rsidRDefault="00C637B5" w:rsidP="00983223">
      <w:pPr>
        <w:ind w:firstLine="720"/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 xml:space="preserve">Admitting </w:t>
      </w:r>
      <w:r w:rsidR="0067197D" w:rsidRPr="004644E0">
        <w:rPr>
          <w:rFonts w:cs="Times New Roman"/>
          <w:szCs w:val="24"/>
        </w:rPr>
        <w:t>victim impact</w:t>
      </w:r>
      <w:r w:rsidRPr="004644E0">
        <w:rPr>
          <w:rFonts w:cs="Times New Roman"/>
          <w:szCs w:val="24"/>
        </w:rPr>
        <w:t xml:space="preserve"> evidence also goes against </w:t>
      </w:r>
      <w:r w:rsidR="00556FFE" w:rsidRPr="004644E0">
        <w:rPr>
          <w:rFonts w:cs="Times New Roman"/>
          <w:szCs w:val="24"/>
        </w:rPr>
        <w:t xml:space="preserve">the court's previous attempt to offer capital </w:t>
      </w:r>
      <w:r w:rsidR="0067197D" w:rsidRPr="004644E0">
        <w:rPr>
          <w:rFonts w:cs="Times New Roman"/>
          <w:szCs w:val="24"/>
        </w:rPr>
        <w:t>offenders</w:t>
      </w:r>
      <w:r w:rsidR="00556FFE" w:rsidRPr="004644E0">
        <w:rPr>
          <w:rFonts w:cs="Times New Roman"/>
          <w:szCs w:val="24"/>
        </w:rPr>
        <w:t xml:space="preserve"> a </w:t>
      </w:r>
      <w:r w:rsidR="0067197D" w:rsidRPr="004644E0">
        <w:rPr>
          <w:rFonts w:cs="Times New Roman"/>
          <w:szCs w:val="24"/>
        </w:rPr>
        <w:t>chance</w:t>
      </w:r>
      <w:r w:rsidR="00556FFE" w:rsidRPr="004644E0">
        <w:rPr>
          <w:rFonts w:cs="Times New Roman"/>
          <w:szCs w:val="24"/>
        </w:rPr>
        <w:t xml:space="preserve"> to avoid the death </w:t>
      </w:r>
      <w:r w:rsidR="0067197D" w:rsidRPr="004644E0">
        <w:rPr>
          <w:rFonts w:cs="Times New Roman"/>
          <w:szCs w:val="24"/>
        </w:rPr>
        <w:t>penalty. The</w:t>
      </w:r>
      <w:r w:rsidR="00556FFE" w:rsidRPr="004644E0">
        <w:rPr>
          <w:rFonts w:cs="Times New Roman"/>
          <w:szCs w:val="24"/>
        </w:rPr>
        <w:t xml:space="preserve"> admissibility of such evidence is also challenging as the court in booth stated that admitting such evidence will promote proportional judgment</w:t>
      </w:r>
      <w:r w:rsidR="004644E0" w:rsidRPr="004644E0">
        <w:rPr>
          <w:rFonts w:cs="Times New Roman"/>
          <w:szCs w:val="24"/>
        </w:rPr>
        <w:t xml:space="preserve"> </w:t>
      </w:r>
      <w:r w:rsidR="004644E0" w:rsidRPr="004644E0">
        <w:rPr>
          <w:rFonts w:cs="Times New Roman"/>
          <w:szCs w:val="24"/>
          <w:shd w:val="clear" w:color="auto" w:fill="FFFFFF"/>
        </w:rPr>
        <w:t>(Levy, 1993)</w:t>
      </w:r>
      <w:r w:rsidR="00556FFE" w:rsidRPr="004644E0">
        <w:rPr>
          <w:rFonts w:cs="Times New Roman"/>
          <w:szCs w:val="24"/>
        </w:rPr>
        <w:t>.</w:t>
      </w:r>
    </w:p>
    <w:p w14:paraId="1763A329" w14:textId="5E411554" w:rsidR="005A53A2" w:rsidRPr="004644E0" w:rsidRDefault="00C637B5" w:rsidP="00556FFE">
      <w:pPr>
        <w:jc w:val="center"/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>Conclusion</w:t>
      </w:r>
    </w:p>
    <w:p w14:paraId="52ECE89E" w14:textId="72AFF142" w:rsidR="00556FFE" w:rsidRPr="004644E0" w:rsidRDefault="00C637B5" w:rsidP="00556FFE">
      <w:pPr>
        <w:rPr>
          <w:rFonts w:cs="Times New Roman"/>
          <w:szCs w:val="24"/>
        </w:rPr>
      </w:pPr>
      <w:r w:rsidRPr="004644E0">
        <w:rPr>
          <w:rFonts w:cs="Times New Roman"/>
          <w:szCs w:val="24"/>
        </w:rPr>
        <w:t xml:space="preserve">Although the Payne V. Tennessee </w:t>
      </w:r>
      <w:r w:rsidR="0067197D" w:rsidRPr="004644E0">
        <w:rPr>
          <w:rFonts w:cs="Times New Roman"/>
          <w:szCs w:val="24"/>
        </w:rPr>
        <w:t>case offered</w:t>
      </w:r>
      <w:r w:rsidRPr="004644E0">
        <w:rPr>
          <w:rFonts w:cs="Times New Roman"/>
          <w:szCs w:val="24"/>
        </w:rPr>
        <w:t xml:space="preserve"> the correct </w:t>
      </w:r>
      <w:r w:rsidR="0067197D" w:rsidRPr="004644E0">
        <w:rPr>
          <w:rFonts w:cs="Times New Roman"/>
          <w:szCs w:val="24"/>
        </w:rPr>
        <w:t>decision, there</w:t>
      </w:r>
      <w:r w:rsidRPr="004644E0">
        <w:rPr>
          <w:rFonts w:cs="Times New Roman"/>
          <w:szCs w:val="24"/>
        </w:rPr>
        <w:t xml:space="preserve"> are severe effects of using </w:t>
      </w:r>
      <w:r w:rsidR="0067197D" w:rsidRPr="004644E0">
        <w:rPr>
          <w:rFonts w:cs="Times New Roman"/>
          <w:szCs w:val="24"/>
        </w:rPr>
        <w:t>impact</w:t>
      </w:r>
      <w:r w:rsidRPr="004644E0">
        <w:rPr>
          <w:rFonts w:cs="Times New Roman"/>
          <w:szCs w:val="24"/>
        </w:rPr>
        <w:t xml:space="preserve"> evidence in a capital </w:t>
      </w:r>
      <w:r w:rsidR="0067197D" w:rsidRPr="004644E0">
        <w:rPr>
          <w:rFonts w:cs="Times New Roman"/>
          <w:szCs w:val="24"/>
        </w:rPr>
        <w:t>trial. The</w:t>
      </w:r>
      <w:r w:rsidRPr="004644E0">
        <w:rPr>
          <w:rFonts w:cs="Times New Roman"/>
          <w:szCs w:val="24"/>
        </w:rPr>
        <w:t xml:space="preserve"> </w:t>
      </w:r>
      <w:r w:rsidR="0067197D" w:rsidRPr="004644E0">
        <w:rPr>
          <w:rFonts w:cs="Times New Roman"/>
          <w:szCs w:val="24"/>
        </w:rPr>
        <w:t>situation. The</w:t>
      </w:r>
      <w:r w:rsidRPr="004644E0">
        <w:rPr>
          <w:rFonts w:cs="Times New Roman"/>
          <w:szCs w:val="24"/>
        </w:rPr>
        <w:t xml:space="preserve"> usage of </w:t>
      </w:r>
      <w:r w:rsidR="0067197D" w:rsidRPr="004644E0">
        <w:rPr>
          <w:rFonts w:cs="Times New Roman"/>
          <w:szCs w:val="24"/>
        </w:rPr>
        <w:t>victim</w:t>
      </w:r>
      <w:r w:rsidRPr="004644E0">
        <w:rPr>
          <w:rFonts w:cs="Times New Roman"/>
          <w:szCs w:val="24"/>
        </w:rPr>
        <w:t xml:space="preserve"> impact evidence leads to massive discretion in the capital sentencing </w:t>
      </w:r>
      <w:r w:rsidR="0067197D" w:rsidRPr="004644E0">
        <w:rPr>
          <w:rFonts w:cs="Times New Roman"/>
          <w:szCs w:val="24"/>
        </w:rPr>
        <w:t>proceeding. The</w:t>
      </w:r>
      <w:r w:rsidRPr="004644E0">
        <w:rPr>
          <w:rFonts w:cs="Times New Roman"/>
          <w:szCs w:val="24"/>
        </w:rPr>
        <w:t xml:space="preserve"> admission of such </w:t>
      </w:r>
      <w:r w:rsidR="0067197D" w:rsidRPr="004644E0">
        <w:rPr>
          <w:rFonts w:cs="Times New Roman"/>
          <w:szCs w:val="24"/>
        </w:rPr>
        <w:t>evidence is</w:t>
      </w:r>
      <w:r w:rsidRPr="004644E0">
        <w:rPr>
          <w:rFonts w:cs="Times New Roman"/>
          <w:szCs w:val="24"/>
        </w:rPr>
        <w:t xml:space="preserve"> </w:t>
      </w:r>
      <w:r w:rsidR="0067197D" w:rsidRPr="004644E0">
        <w:rPr>
          <w:rFonts w:cs="Times New Roman"/>
          <w:szCs w:val="24"/>
        </w:rPr>
        <w:t>inequitable</w:t>
      </w:r>
      <w:r w:rsidRPr="004644E0">
        <w:rPr>
          <w:rFonts w:cs="Times New Roman"/>
          <w:szCs w:val="24"/>
        </w:rPr>
        <w:t xml:space="preserve"> since it is useless to a specific defendant's guilt and moral </w:t>
      </w:r>
      <w:r w:rsidR="0067197D" w:rsidRPr="004644E0">
        <w:rPr>
          <w:rFonts w:cs="Times New Roman"/>
          <w:szCs w:val="24"/>
        </w:rPr>
        <w:t>responsibility. Lastly</w:t>
      </w:r>
      <w:r w:rsidRPr="004644E0">
        <w:rPr>
          <w:rFonts w:cs="Times New Roman"/>
          <w:szCs w:val="24"/>
        </w:rPr>
        <w:t xml:space="preserve">, victim </w:t>
      </w:r>
      <w:r w:rsidR="0067197D" w:rsidRPr="004644E0">
        <w:rPr>
          <w:rFonts w:cs="Times New Roman"/>
          <w:szCs w:val="24"/>
        </w:rPr>
        <w:t>impact evidence encourages comparative judgment based on emotions rather than motive.</w:t>
      </w:r>
    </w:p>
    <w:p w14:paraId="758676DE" w14:textId="77777777" w:rsidR="004644E0" w:rsidRPr="004644E0" w:rsidRDefault="004644E0" w:rsidP="004644E0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</w:rPr>
      </w:pPr>
      <w:r w:rsidRPr="004644E0">
        <w:rPr>
          <w:rFonts w:eastAsia="Times New Roman" w:cs="Times New Roman"/>
          <w:szCs w:val="24"/>
        </w:rPr>
        <w:t>Bibliography</w:t>
      </w:r>
    </w:p>
    <w:p w14:paraId="428B142A" w14:textId="77777777" w:rsidR="004644E0" w:rsidRPr="004644E0" w:rsidRDefault="004644E0" w:rsidP="004644E0">
      <w:pPr>
        <w:spacing w:line="240" w:lineRule="auto"/>
        <w:rPr>
          <w:rFonts w:eastAsia="Times New Roman" w:cs="Times New Roman"/>
          <w:szCs w:val="24"/>
        </w:rPr>
      </w:pPr>
      <w:r w:rsidRPr="004644E0">
        <w:rPr>
          <w:rFonts w:ascii="Verdana" w:eastAsia="Times New Roman" w:hAnsi="Verdana" w:cs="Times New Roman"/>
          <w:sz w:val="21"/>
          <w:szCs w:val="21"/>
        </w:rPr>
        <w:br/>
      </w:r>
    </w:p>
    <w:p w14:paraId="6C91704A" w14:textId="77777777" w:rsidR="004644E0" w:rsidRPr="004644E0" w:rsidRDefault="004644E0" w:rsidP="004644E0">
      <w:pPr>
        <w:shd w:val="clear" w:color="auto" w:fill="FFFFFF"/>
        <w:spacing w:line="290" w:lineRule="atLeast"/>
        <w:ind w:left="720" w:right="75" w:hanging="720"/>
        <w:rPr>
          <w:rFonts w:eastAsia="Times New Roman" w:cs="Times New Roman"/>
          <w:szCs w:val="24"/>
        </w:rPr>
      </w:pPr>
      <w:proofErr w:type="spellStart"/>
      <w:r w:rsidRPr="004644E0">
        <w:rPr>
          <w:rFonts w:eastAsia="Times New Roman" w:cs="Times New Roman"/>
          <w:szCs w:val="24"/>
        </w:rPr>
        <w:t>Latzer</w:t>
      </w:r>
      <w:proofErr w:type="spellEnd"/>
      <w:r w:rsidRPr="004644E0">
        <w:rPr>
          <w:rFonts w:eastAsia="Times New Roman" w:cs="Times New Roman"/>
          <w:szCs w:val="24"/>
        </w:rPr>
        <w:t>, B., and D. McCord. "Victim impact evidence—Payne v. Tennessee (1991)." </w:t>
      </w:r>
      <w:r w:rsidRPr="004644E0">
        <w:rPr>
          <w:rFonts w:eastAsia="Times New Roman" w:cs="Times New Roman"/>
          <w:i/>
          <w:iCs/>
          <w:szCs w:val="24"/>
        </w:rPr>
        <w:t>Death Penalty Cases</w:t>
      </w:r>
      <w:r w:rsidRPr="004644E0">
        <w:rPr>
          <w:rFonts w:eastAsia="Times New Roman" w:cs="Times New Roman"/>
          <w:szCs w:val="24"/>
        </w:rPr>
        <w:t>, 2011, 275-294. doi:10.1016/b978-0-12-382024-2.00014-6.</w:t>
      </w:r>
    </w:p>
    <w:p w14:paraId="228DA957" w14:textId="77777777" w:rsidR="004644E0" w:rsidRPr="004644E0" w:rsidRDefault="004644E0" w:rsidP="004644E0">
      <w:pPr>
        <w:spacing w:line="240" w:lineRule="auto"/>
        <w:rPr>
          <w:rFonts w:eastAsia="Times New Roman" w:cs="Times New Roman"/>
          <w:szCs w:val="24"/>
        </w:rPr>
      </w:pPr>
      <w:r w:rsidRPr="004644E0">
        <w:rPr>
          <w:rFonts w:ascii="Verdana" w:eastAsia="Times New Roman" w:hAnsi="Verdana" w:cs="Times New Roman"/>
          <w:sz w:val="21"/>
          <w:szCs w:val="21"/>
        </w:rPr>
        <w:lastRenderedPageBreak/>
        <w:br/>
      </w:r>
    </w:p>
    <w:p w14:paraId="2FA63C28" w14:textId="77777777" w:rsidR="004644E0" w:rsidRPr="004644E0" w:rsidRDefault="004644E0" w:rsidP="004644E0">
      <w:pPr>
        <w:shd w:val="clear" w:color="auto" w:fill="FFFFFF"/>
        <w:spacing w:line="290" w:lineRule="atLeast"/>
        <w:ind w:left="720" w:right="75" w:hanging="720"/>
        <w:rPr>
          <w:rFonts w:eastAsia="Times New Roman" w:cs="Times New Roman"/>
          <w:szCs w:val="24"/>
        </w:rPr>
      </w:pPr>
      <w:r w:rsidRPr="004644E0">
        <w:rPr>
          <w:rFonts w:eastAsia="Times New Roman" w:cs="Times New Roman"/>
          <w:szCs w:val="24"/>
        </w:rPr>
        <w:t>Levy, J. H. "Limiting victim impact evidence and argument after Payne v. Tennessee." </w:t>
      </w:r>
      <w:r w:rsidRPr="004644E0">
        <w:rPr>
          <w:rFonts w:eastAsia="Times New Roman" w:cs="Times New Roman"/>
          <w:i/>
          <w:iCs/>
          <w:szCs w:val="24"/>
        </w:rPr>
        <w:t>Stanford Law Review</w:t>
      </w:r>
      <w:r w:rsidRPr="004644E0">
        <w:rPr>
          <w:rFonts w:eastAsia="Times New Roman" w:cs="Times New Roman"/>
          <w:szCs w:val="24"/>
        </w:rPr>
        <w:t> 45, no. 4 (1993), 1027. doi:10.2307/1229203.</w:t>
      </w:r>
    </w:p>
    <w:p w14:paraId="175EA44C" w14:textId="77777777" w:rsidR="004644E0" w:rsidRPr="004644E0" w:rsidRDefault="004644E0" w:rsidP="004644E0">
      <w:pPr>
        <w:spacing w:line="240" w:lineRule="auto"/>
        <w:rPr>
          <w:rFonts w:eastAsia="Times New Roman" w:cs="Times New Roman"/>
          <w:szCs w:val="24"/>
        </w:rPr>
      </w:pPr>
      <w:r w:rsidRPr="004644E0">
        <w:rPr>
          <w:rFonts w:ascii="Verdana" w:eastAsia="Times New Roman" w:hAnsi="Verdana" w:cs="Times New Roman"/>
          <w:sz w:val="21"/>
          <w:szCs w:val="21"/>
        </w:rPr>
        <w:br/>
      </w:r>
    </w:p>
    <w:p w14:paraId="24D1C251" w14:textId="77777777" w:rsidR="004644E0" w:rsidRPr="004644E0" w:rsidRDefault="004644E0" w:rsidP="004644E0">
      <w:pPr>
        <w:shd w:val="clear" w:color="auto" w:fill="FFFFFF"/>
        <w:spacing w:line="290" w:lineRule="atLeast"/>
        <w:ind w:left="720" w:right="75" w:hanging="720"/>
        <w:rPr>
          <w:rFonts w:eastAsia="Times New Roman" w:cs="Times New Roman"/>
          <w:szCs w:val="24"/>
        </w:rPr>
      </w:pPr>
      <w:proofErr w:type="spellStart"/>
      <w:r w:rsidRPr="004644E0">
        <w:rPr>
          <w:rFonts w:eastAsia="Times New Roman" w:cs="Times New Roman"/>
          <w:szCs w:val="24"/>
        </w:rPr>
        <w:t>Tretter</w:t>
      </w:r>
      <w:proofErr w:type="spellEnd"/>
      <w:r w:rsidRPr="004644E0">
        <w:rPr>
          <w:rFonts w:eastAsia="Times New Roman" w:cs="Times New Roman"/>
          <w:szCs w:val="24"/>
        </w:rPr>
        <w:t>, S. A. </w:t>
      </w:r>
      <w:r w:rsidRPr="004644E0">
        <w:rPr>
          <w:rFonts w:eastAsia="Times New Roman" w:cs="Times New Roman"/>
          <w:i/>
          <w:iCs/>
          <w:szCs w:val="24"/>
        </w:rPr>
        <w:t>Role of victim impact evidence in capital sentencing after Payne v. Tennessee: Helpful or harmful</w:t>
      </w:r>
      <w:r w:rsidRPr="004644E0">
        <w:rPr>
          <w:rFonts w:eastAsia="Times New Roman" w:cs="Times New Roman"/>
          <w:szCs w:val="24"/>
        </w:rPr>
        <w:t>. 1992.</w:t>
      </w:r>
    </w:p>
    <w:p w14:paraId="50D70EE3" w14:textId="77777777" w:rsidR="005A53A2" w:rsidRPr="004644E0" w:rsidRDefault="005A53A2" w:rsidP="005A53A2">
      <w:pPr>
        <w:jc w:val="center"/>
        <w:rPr>
          <w:rFonts w:cs="Times New Roman"/>
          <w:szCs w:val="24"/>
        </w:rPr>
      </w:pPr>
    </w:p>
    <w:p w14:paraId="73F69864" w14:textId="23588B58" w:rsidR="005A53A2" w:rsidRPr="004644E0" w:rsidRDefault="005A53A2" w:rsidP="005A53A2">
      <w:pPr>
        <w:rPr>
          <w:rFonts w:cs="Times New Roman"/>
          <w:szCs w:val="24"/>
        </w:rPr>
      </w:pPr>
    </w:p>
    <w:sectPr w:rsidR="005A53A2" w:rsidRPr="004644E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319C1" w14:textId="77777777" w:rsidR="00C637B5" w:rsidRDefault="00C637B5">
      <w:pPr>
        <w:spacing w:line="240" w:lineRule="auto"/>
      </w:pPr>
      <w:r>
        <w:separator/>
      </w:r>
    </w:p>
  </w:endnote>
  <w:endnote w:type="continuationSeparator" w:id="0">
    <w:p w14:paraId="3912BAA6" w14:textId="77777777" w:rsidR="00C637B5" w:rsidRDefault="00C637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Arial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432D3E" w14:textId="77777777" w:rsidR="00C637B5" w:rsidRDefault="00C637B5">
      <w:pPr>
        <w:spacing w:line="240" w:lineRule="auto"/>
      </w:pPr>
      <w:r>
        <w:separator/>
      </w:r>
    </w:p>
  </w:footnote>
  <w:footnote w:type="continuationSeparator" w:id="0">
    <w:p w14:paraId="4912954E" w14:textId="77777777" w:rsidR="00C637B5" w:rsidRDefault="00C637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067473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65BE442" w14:textId="62A95F99" w:rsidR="005A53A2" w:rsidRDefault="00C637B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1F77AA" w14:textId="77777777" w:rsidR="005A53A2" w:rsidRDefault="005A53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1A05D7"/>
    <w:multiLevelType w:val="hybridMultilevel"/>
    <w:tmpl w:val="2DF2E9F8"/>
    <w:lvl w:ilvl="0" w:tplc="F43C4E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4EC9238" w:tentative="1">
      <w:start w:val="1"/>
      <w:numFmt w:val="lowerLetter"/>
      <w:lvlText w:val="%2."/>
      <w:lvlJc w:val="left"/>
      <w:pPr>
        <w:ind w:left="1440" w:hanging="360"/>
      </w:pPr>
    </w:lvl>
    <w:lvl w:ilvl="2" w:tplc="0EC869CA" w:tentative="1">
      <w:start w:val="1"/>
      <w:numFmt w:val="lowerRoman"/>
      <w:lvlText w:val="%3."/>
      <w:lvlJc w:val="right"/>
      <w:pPr>
        <w:ind w:left="2160" w:hanging="180"/>
      </w:pPr>
    </w:lvl>
    <w:lvl w:ilvl="3" w:tplc="EDC64A26" w:tentative="1">
      <w:start w:val="1"/>
      <w:numFmt w:val="decimal"/>
      <w:lvlText w:val="%4."/>
      <w:lvlJc w:val="left"/>
      <w:pPr>
        <w:ind w:left="2880" w:hanging="360"/>
      </w:pPr>
    </w:lvl>
    <w:lvl w:ilvl="4" w:tplc="1B54D552" w:tentative="1">
      <w:start w:val="1"/>
      <w:numFmt w:val="lowerLetter"/>
      <w:lvlText w:val="%5."/>
      <w:lvlJc w:val="left"/>
      <w:pPr>
        <w:ind w:left="3600" w:hanging="360"/>
      </w:pPr>
    </w:lvl>
    <w:lvl w:ilvl="5" w:tplc="2CF6286A" w:tentative="1">
      <w:start w:val="1"/>
      <w:numFmt w:val="lowerRoman"/>
      <w:lvlText w:val="%6."/>
      <w:lvlJc w:val="right"/>
      <w:pPr>
        <w:ind w:left="4320" w:hanging="180"/>
      </w:pPr>
    </w:lvl>
    <w:lvl w:ilvl="6" w:tplc="DCD8F5EC" w:tentative="1">
      <w:start w:val="1"/>
      <w:numFmt w:val="decimal"/>
      <w:lvlText w:val="%7."/>
      <w:lvlJc w:val="left"/>
      <w:pPr>
        <w:ind w:left="5040" w:hanging="360"/>
      </w:pPr>
    </w:lvl>
    <w:lvl w:ilvl="7" w:tplc="E54E9DE2" w:tentative="1">
      <w:start w:val="1"/>
      <w:numFmt w:val="lowerLetter"/>
      <w:lvlText w:val="%8."/>
      <w:lvlJc w:val="left"/>
      <w:pPr>
        <w:ind w:left="5760" w:hanging="360"/>
      </w:pPr>
    </w:lvl>
    <w:lvl w:ilvl="8" w:tplc="5D68E2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A2"/>
    <w:rsid w:val="000B46CC"/>
    <w:rsid w:val="001C4CD1"/>
    <w:rsid w:val="001C63B8"/>
    <w:rsid w:val="00264955"/>
    <w:rsid w:val="002853EC"/>
    <w:rsid w:val="00323F97"/>
    <w:rsid w:val="00386AC6"/>
    <w:rsid w:val="003D02F0"/>
    <w:rsid w:val="004644E0"/>
    <w:rsid w:val="00492E1F"/>
    <w:rsid w:val="0055605B"/>
    <w:rsid w:val="00556FFE"/>
    <w:rsid w:val="00582110"/>
    <w:rsid w:val="005A53A2"/>
    <w:rsid w:val="005B53E2"/>
    <w:rsid w:val="0067197D"/>
    <w:rsid w:val="007A3E1E"/>
    <w:rsid w:val="008E2C11"/>
    <w:rsid w:val="008F221F"/>
    <w:rsid w:val="00926133"/>
    <w:rsid w:val="00960B8A"/>
    <w:rsid w:val="00983223"/>
    <w:rsid w:val="009C3B55"/>
    <w:rsid w:val="00A165DF"/>
    <w:rsid w:val="00B00F3D"/>
    <w:rsid w:val="00BE0B2F"/>
    <w:rsid w:val="00BE2972"/>
    <w:rsid w:val="00C637B5"/>
    <w:rsid w:val="00CA212C"/>
    <w:rsid w:val="00CC5507"/>
    <w:rsid w:val="00EC626F"/>
    <w:rsid w:val="00F540ED"/>
    <w:rsid w:val="00FC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F1A68"/>
  <w15:chartTrackingRefBased/>
  <w15:docId w15:val="{00845780-8451-4131-B66F-ECBF043B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3A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3A2"/>
  </w:style>
  <w:style w:type="paragraph" w:styleId="Footer">
    <w:name w:val="footer"/>
    <w:basedOn w:val="Normal"/>
    <w:link w:val="FooterChar"/>
    <w:uiPriority w:val="99"/>
    <w:unhideWhenUsed/>
    <w:rsid w:val="005A53A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3A2"/>
  </w:style>
  <w:style w:type="paragraph" w:styleId="ListParagraph">
    <w:name w:val="List Paragraph"/>
    <w:basedOn w:val="Normal"/>
    <w:uiPriority w:val="34"/>
    <w:qFormat/>
    <w:rsid w:val="005A53A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644E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4644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3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2021-08-31T19:16:00Z</dcterms:created>
  <dcterms:modified xsi:type="dcterms:W3CDTF">2021-08-31T19:16:00Z</dcterms:modified>
</cp:coreProperties>
</file>